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91EAD" w14:textId="77777777" w:rsidR="00BA0DDC" w:rsidRPr="00BA0DDC" w:rsidRDefault="00BA0DDC" w:rsidP="00BA0DDC">
      <w:pPr>
        <w:shd w:val="clear" w:color="auto" w:fill="FFFFFF"/>
        <w:spacing w:after="240" w:line="288" w:lineRule="atLeast"/>
        <w:outlineLvl w:val="0"/>
        <w:rPr>
          <w:rFonts w:ascii="Tahoma" w:eastAsia="Times New Roman" w:hAnsi="Tahoma" w:cs="Tahoma"/>
          <w:b/>
          <w:bCs/>
          <w:color w:val="333333"/>
          <w:kern w:val="36"/>
          <w:sz w:val="53"/>
          <w:szCs w:val="53"/>
        </w:rPr>
      </w:pPr>
      <w:r w:rsidRPr="00BA0DDC">
        <w:rPr>
          <w:rFonts w:ascii="Tahoma" w:eastAsia="Times New Roman" w:hAnsi="Tahoma" w:cs="Tahoma"/>
          <w:b/>
          <w:bCs/>
          <w:color w:val="333333"/>
          <w:kern w:val="36"/>
          <w:sz w:val="53"/>
          <w:szCs w:val="53"/>
        </w:rPr>
        <w:t>Public Health Emergency Declaration</w:t>
      </w:r>
    </w:p>
    <w:p w14:paraId="5ACA8B6B" w14:textId="77777777" w:rsidR="00BA0DDC" w:rsidRPr="00BA0DDC" w:rsidRDefault="00BA0DDC" w:rsidP="00BA0DDC">
      <w:pPr>
        <w:shd w:val="clear" w:color="auto" w:fill="FFFFFF"/>
        <w:spacing w:after="150" w:line="240" w:lineRule="auto"/>
        <w:rPr>
          <w:rFonts w:ascii="Arial" w:eastAsia="Times New Roman" w:hAnsi="Arial" w:cs="Arial"/>
          <w:color w:val="262524"/>
          <w:sz w:val="18"/>
          <w:szCs w:val="18"/>
        </w:rPr>
      </w:pPr>
      <w:r w:rsidRPr="00BA0DDC">
        <w:rPr>
          <w:rFonts w:ascii="Arial" w:eastAsia="Times New Roman" w:hAnsi="Arial" w:cs="Arial"/>
          <w:color w:val="262524"/>
          <w:sz w:val="18"/>
          <w:szCs w:val="18"/>
        </w:rPr>
        <w:t>The Secretary of the Department of Health and Human Services (HHS) may, under section 319 of the Public Health Service (PHS) Act, determine that: a) a disease or disorder presents a public health emergency (PHE); or b) that a public health emergency, including significant outbreaks of infectious disease or bioterrorist attacks, otherwise exists.</w:t>
      </w:r>
    </w:p>
    <w:p w14:paraId="27536708" w14:textId="77777777" w:rsidR="00BA0DDC" w:rsidRPr="00BA0DDC" w:rsidRDefault="00BA0DDC" w:rsidP="00BA0DDC">
      <w:pPr>
        <w:shd w:val="clear" w:color="auto" w:fill="FFFFFF"/>
        <w:spacing w:after="150" w:line="240" w:lineRule="auto"/>
        <w:rPr>
          <w:rFonts w:ascii="Arial" w:eastAsia="Times New Roman" w:hAnsi="Arial" w:cs="Arial"/>
          <w:color w:val="262524"/>
          <w:sz w:val="18"/>
          <w:szCs w:val="18"/>
        </w:rPr>
      </w:pPr>
      <w:r w:rsidRPr="00BA0DDC">
        <w:rPr>
          <w:rFonts w:ascii="Arial" w:eastAsia="Times New Roman" w:hAnsi="Arial" w:cs="Arial"/>
          <w:color w:val="262524"/>
          <w:sz w:val="18"/>
          <w:szCs w:val="18"/>
        </w:rPr>
        <w:t xml:space="preserve">Duration and Notification: The declaration lasts for the duration of the emergency or 90 </w:t>
      </w:r>
      <w:proofErr w:type="gramStart"/>
      <w:r w:rsidRPr="00BA0DDC">
        <w:rPr>
          <w:rFonts w:ascii="Arial" w:eastAsia="Times New Roman" w:hAnsi="Arial" w:cs="Arial"/>
          <w:color w:val="262524"/>
          <w:sz w:val="18"/>
          <w:szCs w:val="18"/>
        </w:rPr>
        <w:t>days, but</w:t>
      </w:r>
      <w:proofErr w:type="gramEnd"/>
      <w:r w:rsidRPr="00BA0DDC">
        <w:rPr>
          <w:rFonts w:ascii="Arial" w:eastAsia="Times New Roman" w:hAnsi="Arial" w:cs="Arial"/>
          <w:color w:val="262524"/>
          <w:sz w:val="18"/>
          <w:szCs w:val="18"/>
        </w:rPr>
        <w:t xml:space="preserve"> may be extended by the Secretary. Congress must be notified of the declaration within 48 hours, and relevant agencies, including the Department of Homeland Security, Department of Justice, and Federal Bureau of Investigation, must be kept informed.</w:t>
      </w:r>
    </w:p>
    <w:p w14:paraId="45A46B9B" w14:textId="77777777" w:rsidR="00BA0DDC" w:rsidRPr="00BA0DDC" w:rsidRDefault="00BA0DDC" w:rsidP="00BA0DDC">
      <w:pPr>
        <w:shd w:val="clear" w:color="auto" w:fill="FFFFFF"/>
        <w:spacing w:after="150" w:line="240" w:lineRule="auto"/>
        <w:rPr>
          <w:rFonts w:ascii="Arial" w:eastAsia="Times New Roman" w:hAnsi="Arial" w:cs="Arial"/>
          <w:color w:val="262524"/>
          <w:sz w:val="18"/>
          <w:szCs w:val="18"/>
        </w:rPr>
      </w:pPr>
      <w:r w:rsidRPr="00BA0DDC">
        <w:rPr>
          <w:rFonts w:ascii="Arial" w:eastAsia="Times New Roman" w:hAnsi="Arial" w:cs="Arial"/>
          <w:color w:val="262524"/>
          <w:sz w:val="18"/>
          <w:szCs w:val="18"/>
        </w:rPr>
        <w:t>Prior to issuing the declaration, the Secretary should consult with public health officials as necessary.</w:t>
      </w:r>
    </w:p>
    <w:p w14:paraId="4FC10102" w14:textId="77777777" w:rsidR="00BA0DDC" w:rsidRPr="00BA0DDC" w:rsidRDefault="00BA0DDC" w:rsidP="00BA0DDC">
      <w:pPr>
        <w:shd w:val="clear" w:color="auto" w:fill="FFFFFF"/>
        <w:spacing w:after="150" w:line="240" w:lineRule="auto"/>
        <w:rPr>
          <w:rFonts w:ascii="Arial" w:eastAsia="Times New Roman" w:hAnsi="Arial" w:cs="Arial"/>
          <w:color w:val="262524"/>
          <w:sz w:val="18"/>
          <w:szCs w:val="18"/>
        </w:rPr>
      </w:pPr>
      <w:r w:rsidRPr="00BA0DDC">
        <w:rPr>
          <w:rFonts w:ascii="Arial" w:eastAsia="Times New Roman" w:hAnsi="Arial" w:cs="Arial"/>
          <w:color w:val="262524"/>
          <w:sz w:val="18"/>
          <w:szCs w:val="18"/>
        </w:rPr>
        <w:t>Following a section 319 declaration, the Secretary can:</w:t>
      </w:r>
    </w:p>
    <w:p w14:paraId="3A50928D" w14:textId="4E0ADC02" w:rsidR="00BA0DDC" w:rsidRDefault="00BA0DDC" w:rsidP="00BA0DDC">
      <w:pPr>
        <w:numPr>
          <w:ilvl w:val="0"/>
          <w:numId w:val="1"/>
        </w:numPr>
        <w:shd w:val="clear" w:color="auto" w:fill="FFFFFF"/>
        <w:spacing w:after="0" w:line="384" w:lineRule="atLeast"/>
        <w:ind w:left="165" w:right="165"/>
        <w:rPr>
          <w:rFonts w:ascii="Arial" w:eastAsia="Times New Roman" w:hAnsi="Arial" w:cs="Arial"/>
          <w:color w:val="262524"/>
          <w:sz w:val="18"/>
          <w:szCs w:val="18"/>
        </w:rPr>
      </w:pPr>
      <w:r w:rsidRPr="00BA0DDC">
        <w:rPr>
          <w:rFonts w:ascii="Arial" w:eastAsia="Times New Roman" w:hAnsi="Arial" w:cs="Arial"/>
          <w:color w:val="262524"/>
          <w:sz w:val="18"/>
          <w:szCs w:val="18"/>
        </w:rPr>
        <w:t xml:space="preserve">Take appropriate actions in response to the emergency consistent with other authorities, </w:t>
      </w:r>
      <w:proofErr w:type="gramStart"/>
      <w:r w:rsidRPr="00BA0DDC">
        <w:rPr>
          <w:rFonts w:ascii="Arial" w:eastAsia="Times New Roman" w:hAnsi="Arial" w:cs="Arial"/>
          <w:color w:val="262524"/>
          <w:sz w:val="18"/>
          <w:szCs w:val="18"/>
        </w:rPr>
        <w:t>including:</w:t>
      </w:r>
      <w:proofErr w:type="gramEnd"/>
      <w:r w:rsidRPr="00BA0DDC">
        <w:rPr>
          <w:rFonts w:ascii="Arial" w:eastAsia="Times New Roman" w:hAnsi="Arial" w:cs="Arial"/>
          <w:color w:val="262524"/>
          <w:sz w:val="18"/>
          <w:szCs w:val="18"/>
        </w:rPr>
        <w:t xml:space="preserve"> making grants; entering into contracts; and conducting and supporting investigations into the cause, treatment, or prevention of the disease or disorder. Upon request of the recipient of any such award and subject to corresponding reductions in payments, the Secretary may also provide supplies, equipment, and services, and detail employees of the Department to the recipient to aid the recipient in carrying out the award.</w:t>
      </w:r>
    </w:p>
    <w:p w14:paraId="11A7145E" w14:textId="5F80AC1C" w:rsidR="00704927" w:rsidRPr="00BA0DDC" w:rsidRDefault="00704927" w:rsidP="00704927">
      <w:pPr>
        <w:shd w:val="clear" w:color="auto" w:fill="FFFFFF"/>
        <w:spacing w:after="0" w:line="384" w:lineRule="atLeast"/>
        <w:ind w:left="165" w:right="165"/>
        <w:rPr>
          <w:rFonts w:ascii="Arial" w:eastAsia="Times New Roman" w:hAnsi="Arial" w:cs="Arial"/>
          <w:color w:val="262524"/>
          <w:sz w:val="18"/>
          <w:szCs w:val="18"/>
        </w:rPr>
      </w:pPr>
      <w:r>
        <w:rPr>
          <w:rFonts w:ascii="Arial" w:eastAsia="Times New Roman" w:hAnsi="Arial" w:cs="Arial"/>
          <w:color w:val="262524"/>
          <w:sz w:val="18"/>
          <w:szCs w:val="18"/>
        </w:rPr>
        <w:t xml:space="preserve">… </w:t>
      </w:r>
    </w:p>
    <w:p w14:paraId="765F10E6" w14:textId="22B6CD2D" w:rsidR="008E07D3" w:rsidRDefault="008E07D3">
      <w:pPr>
        <w:rPr>
          <w:rFonts w:ascii="Arial" w:eastAsia="Times New Roman" w:hAnsi="Arial" w:cs="Arial"/>
          <w:color w:val="262524"/>
          <w:sz w:val="18"/>
          <w:szCs w:val="18"/>
        </w:rPr>
      </w:pPr>
    </w:p>
    <w:p w14:paraId="586A6F13" w14:textId="77777777" w:rsidR="00704927" w:rsidRPr="00704927" w:rsidRDefault="00704927" w:rsidP="00704927">
      <w:pPr>
        <w:rPr>
          <w:b/>
          <w:bCs/>
          <w:sz w:val="32"/>
          <w:szCs w:val="32"/>
        </w:rPr>
      </w:pPr>
      <w:r w:rsidRPr="00704927">
        <w:rPr>
          <w:b/>
          <w:bCs/>
          <w:sz w:val="32"/>
          <w:szCs w:val="32"/>
        </w:rPr>
        <w:t>Determination that a Public Health Emergency Exists</w:t>
      </w:r>
    </w:p>
    <w:p w14:paraId="06340658" w14:textId="77777777" w:rsidR="00704927" w:rsidRPr="00704927" w:rsidRDefault="00704927" w:rsidP="00704927">
      <w:r w:rsidRPr="00704927">
        <w:t>As a result of confirmed cases of 2019 Novel Coronavirus (2019-nCoV), on this date and after consultation with public health officials as necessary, I, Alex M. Azar II, Secretary of Health and Human Services, pursuant to the authority vested in me under section 319 of the Public Health Service Act, do hereby determine that a public health emergency exists and has existed since January 27, 2020, nationwide.</w:t>
      </w:r>
    </w:p>
    <w:tbl>
      <w:tblPr>
        <w:tblW w:w="5000" w:type="pct"/>
        <w:tblCellMar>
          <w:top w:w="15" w:type="dxa"/>
          <w:left w:w="15" w:type="dxa"/>
          <w:bottom w:w="15" w:type="dxa"/>
          <w:right w:w="15" w:type="dxa"/>
        </w:tblCellMar>
        <w:tblLook w:val="04A0" w:firstRow="1" w:lastRow="0" w:firstColumn="1" w:lastColumn="0" w:noHBand="0" w:noVBand="1"/>
      </w:tblPr>
      <w:tblGrid>
        <w:gridCol w:w="3930"/>
        <w:gridCol w:w="1500"/>
        <w:gridCol w:w="3930"/>
      </w:tblGrid>
      <w:tr w:rsidR="00704927" w:rsidRPr="00704927" w14:paraId="7D8FDF4C" w14:textId="77777777" w:rsidTr="00704927">
        <w:tc>
          <w:tcPr>
            <w:tcW w:w="0" w:type="auto"/>
            <w:vAlign w:val="center"/>
            <w:hideMark/>
          </w:tcPr>
          <w:p w14:paraId="14E41AAA" w14:textId="77777777" w:rsidR="00704927" w:rsidRPr="00704927" w:rsidRDefault="00704927" w:rsidP="00704927">
            <w:r w:rsidRPr="00704927">
              <w:t>01/31/2020</w:t>
            </w:r>
          </w:p>
          <w:p w14:paraId="0DDFA42F" w14:textId="77777777" w:rsidR="00704927" w:rsidRPr="00704927" w:rsidRDefault="00704927" w:rsidP="00704927">
            <w:r w:rsidRPr="00704927">
              <w:t>_____________________________</w:t>
            </w:r>
          </w:p>
          <w:p w14:paraId="57AA49EF" w14:textId="77777777" w:rsidR="00704927" w:rsidRPr="00704927" w:rsidRDefault="00704927" w:rsidP="00704927">
            <w:r w:rsidRPr="00704927">
              <w:t>Date</w:t>
            </w:r>
          </w:p>
        </w:tc>
        <w:tc>
          <w:tcPr>
            <w:tcW w:w="0" w:type="auto"/>
            <w:vAlign w:val="center"/>
            <w:hideMark/>
          </w:tcPr>
          <w:p w14:paraId="3AE32BC5" w14:textId="77777777" w:rsidR="00704927" w:rsidRPr="00704927" w:rsidRDefault="00704927" w:rsidP="00704927">
            <w:r w:rsidRPr="00704927">
              <w:t>                        </w:t>
            </w:r>
          </w:p>
        </w:tc>
        <w:tc>
          <w:tcPr>
            <w:tcW w:w="0" w:type="auto"/>
            <w:vAlign w:val="center"/>
            <w:hideMark/>
          </w:tcPr>
          <w:p w14:paraId="3812E528" w14:textId="77777777" w:rsidR="00704927" w:rsidRPr="00704927" w:rsidRDefault="00704927" w:rsidP="00704927">
            <w:r w:rsidRPr="00704927">
              <w:t>/s/</w:t>
            </w:r>
          </w:p>
          <w:p w14:paraId="47EDF909" w14:textId="77777777" w:rsidR="00704927" w:rsidRPr="00704927" w:rsidRDefault="00704927" w:rsidP="00704927">
            <w:r w:rsidRPr="00704927">
              <w:t>_____________________________</w:t>
            </w:r>
          </w:p>
          <w:p w14:paraId="0F77AF61" w14:textId="77777777" w:rsidR="00704927" w:rsidRPr="00704927" w:rsidRDefault="00704927" w:rsidP="00704927">
            <w:r w:rsidRPr="00704927">
              <w:t>Alex M. Azar II</w:t>
            </w:r>
          </w:p>
        </w:tc>
      </w:tr>
    </w:tbl>
    <w:p w14:paraId="13765641" w14:textId="77777777" w:rsidR="00704927" w:rsidRPr="00704927" w:rsidRDefault="00704927" w:rsidP="00704927">
      <w:r w:rsidRPr="00704927">
        <w:t>​</w:t>
      </w:r>
    </w:p>
    <w:p w14:paraId="59EA08F1" w14:textId="29E0B0AF" w:rsidR="00704927" w:rsidRDefault="00704927"/>
    <w:p w14:paraId="2BE6FB79" w14:textId="574A18E3" w:rsidR="002D23C3" w:rsidRDefault="002D23C3"/>
    <w:p w14:paraId="50A9A4B0" w14:textId="171FE72E" w:rsidR="002D23C3" w:rsidRDefault="002D23C3"/>
    <w:p w14:paraId="3DF49120" w14:textId="6A70420D" w:rsidR="002D23C3" w:rsidRDefault="002D23C3"/>
    <w:p w14:paraId="6FA2ED39" w14:textId="77777777" w:rsidR="002D23C3" w:rsidRDefault="002D23C3">
      <w:bookmarkStart w:id="0" w:name="_GoBack"/>
      <w:bookmarkEnd w:id="0"/>
    </w:p>
    <w:p w14:paraId="341ABE5B" w14:textId="7159A798" w:rsidR="00704927" w:rsidRDefault="002D23C3">
      <w:pPr>
        <w:rPr>
          <w:sz w:val="32"/>
          <w:szCs w:val="32"/>
        </w:rPr>
      </w:pPr>
      <w:r>
        <w:rPr>
          <w:b/>
          <w:bCs/>
          <w:sz w:val="32"/>
          <w:szCs w:val="32"/>
        </w:rPr>
        <w:lastRenderedPageBreak/>
        <w:t>S</w:t>
      </w:r>
      <w:r w:rsidRPr="002D23C3">
        <w:rPr>
          <w:b/>
          <w:bCs/>
          <w:sz w:val="32"/>
          <w:szCs w:val="32"/>
        </w:rPr>
        <w:t>ection 361 of the Public Health Service Act</w:t>
      </w:r>
      <w:r w:rsidRPr="002D23C3">
        <w:rPr>
          <w:sz w:val="32"/>
          <w:szCs w:val="32"/>
        </w:rPr>
        <w:t> (</w:t>
      </w:r>
      <w:r w:rsidRPr="002D23C3">
        <w:rPr>
          <w:b/>
          <w:bCs/>
          <w:sz w:val="32"/>
          <w:szCs w:val="32"/>
        </w:rPr>
        <w:t>42 U.S. Code</w:t>
      </w:r>
      <w:r w:rsidRPr="002D23C3">
        <w:rPr>
          <w:sz w:val="32"/>
          <w:szCs w:val="32"/>
        </w:rPr>
        <w:t> § </w:t>
      </w:r>
      <w:r w:rsidRPr="002D23C3">
        <w:rPr>
          <w:b/>
          <w:bCs/>
          <w:sz w:val="32"/>
          <w:szCs w:val="32"/>
        </w:rPr>
        <w:t>264</w:t>
      </w:r>
      <w:r w:rsidRPr="002D23C3">
        <w:rPr>
          <w:sz w:val="32"/>
          <w:szCs w:val="32"/>
        </w:rPr>
        <w:t>)</w:t>
      </w:r>
    </w:p>
    <w:p w14:paraId="4785045E" w14:textId="77777777" w:rsidR="002D23C3" w:rsidRPr="002D23C3" w:rsidRDefault="002D23C3" w:rsidP="002D23C3">
      <w:pPr>
        <w:shd w:val="clear" w:color="auto" w:fill="FFFFFF"/>
        <w:spacing w:after="0" w:line="240" w:lineRule="auto"/>
        <w:rPr>
          <w:rFonts w:ascii="Verdana" w:eastAsia="Times New Roman" w:hAnsi="Verdana" w:cs="Times New Roman"/>
          <w:color w:val="333333"/>
          <w:sz w:val="24"/>
          <w:szCs w:val="24"/>
        </w:rPr>
      </w:pPr>
      <w:r w:rsidRPr="002D23C3">
        <w:rPr>
          <w:rFonts w:ascii="Verdana" w:eastAsia="Times New Roman" w:hAnsi="Verdana" w:cs="Times New Roman"/>
          <w:b/>
          <w:bCs/>
          <w:color w:val="333333"/>
          <w:sz w:val="24"/>
          <w:szCs w:val="24"/>
        </w:rPr>
        <w:t>(a)</w:t>
      </w:r>
      <w:r w:rsidRPr="002D23C3">
        <w:rPr>
          <w:rFonts w:ascii="Verdana" w:eastAsia="Times New Roman" w:hAnsi="Verdana" w:cs="Times New Roman"/>
          <w:b/>
          <w:bCs/>
          <w:smallCaps/>
          <w:color w:val="333333"/>
          <w:sz w:val="24"/>
          <w:szCs w:val="24"/>
        </w:rPr>
        <w:t>Promulgation and enforcement by Surgeon General</w:t>
      </w:r>
    </w:p>
    <w:p w14:paraId="55057239" w14:textId="77777777" w:rsidR="002D23C3" w:rsidRPr="002D23C3" w:rsidRDefault="002D23C3" w:rsidP="002D23C3">
      <w:pPr>
        <w:shd w:val="clear" w:color="auto" w:fill="FFFFFF"/>
        <w:spacing w:after="150" w:line="240" w:lineRule="auto"/>
        <w:rPr>
          <w:rFonts w:ascii="Verdana" w:eastAsia="Times New Roman" w:hAnsi="Verdana" w:cs="Times New Roman"/>
          <w:color w:val="333333"/>
          <w:sz w:val="24"/>
          <w:szCs w:val="24"/>
        </w:rPr>
      </w:pPr>
      <w:r w:rsidRPr="002D23C3">
        <w:rPr>
          <w:rFonts w:ascii="Verdana" w:eastAsia="Times New Roman" w:hAnsi="Verdana" w:cs="Times New Roman"/>
          <w:color w:val="333333"/>
          <w:sz w:val="24"/>
          <w:szCs w:val="24"/>
        </w:rPr>
        <w:t>The </w:t>
      </w:r>
      <w:hyperlink r:id="rId5" w:history="1">
        <w:r w:rsidRPr="002D23C3">
          <w:rPr>
            <w:rFonts w:ascii="Verdana" w:eastAsia="Times New Roman" w:hAnsi="Verdana" w:cs="Times New Roman"/>
            <w:color w:val="0068AC"/>
            <w:sz w:val="24"/>
            <w:szCs w:val="24"/>
            <w:u w:val="single"/>
          </w:rPr>
          <w:t>Surgeon General</w:t>
        </w:r>
      </w:hyperlink>
      <w:r w:rsidRPr="002D23C3">
        <w:rPr>
          <w:rFonts w:ascii="Verdana" w:eastAsia="Times New Roman" w:hAnsi="Verdana" w:cs="Times New Roman"/>
          <w:color w:val="333333"/>
          <w:sz w:val="24"/>
          <w:szCs w:val="24"/>
        </w:rPr>
        <w:t>, with the approval of the</w:t>
      </w:r>
      <w:hyperlink r:id="rId6" w:history="1">
        <w:r w:rsidRPr="002D23C3">
          <w:rPr>
            <w:rFonts w:ascii="Verdana" w:eastAsia="Times New Roman" w:hAnsi="Verdana" w:cs="Times New Roman"/>
            <w:color w:val="0068AC"/>
            <w:sz w:val="24"/>
            <w:szCs w:val="24"/>
            <w:u w:val="single"/>
          </w:rPr>
          <w:t> Secretary,</w:t>
        </w:r>
      </w:hyperlink>
      <w:r w:rsidRPr="002D23C3">
        <w:rPr>
          <w:rFonts w:ascii="Verdana" w:eastAsia="Times New Roman" w:hAnsi="Verdana" w:cs="Times New Roman"/>
          <w:color w:val="333333"/>
          <w:sz w:val="24"/>
          <w:szCs w:val="24"/>
        </w:rPr>
        <w:t> is authorized to make and enforce such</w:t>
      </w:r>
      <w:hyperlink r:id="rId7" w:history="1">
        <w:r w:rsidRPr="002D23C3">
          <w:rPr>
            <w:rFonts w:ascii="Verdana" w:eastAsia="Times New Roman" w:hAnsi="Verdana" w:cs="Times New Roman"/>
            <w:color w:val="0068AC"/>
            <w:sz w:val="24"/>
            <w:szCs w:val="24"/>
            <w:u w:val="single"/>
          </w:rPr>
          <w:t> regulations </w:t>
        </w:r>
      </w:hyperlink>
      <w:r w:rsidRPr="002D23C3">
        <w:rPr>
          <w:rFonts w:ascii="Verdana" w:eastAsia="Times New Roman" w:hAnsi="Verdana" w:cs="Times New Roman"/>
          <w:color w:val="333333"/>
          <w:sz w:val="24"/>
          <w:szCs w:val="24"/>
        </w:rPr>
        <w:t>as in his judgment are necessary to prevent the introduction, transmission, or spread of communicable diseases from foreign countries into the States or possessions, or from one State or possession into any other State or possession. For purposes of carrying out and enforcing such</w:t>
      </w:r>
      <w:hyperlink r:id="rId8" w:history="1">
        <w:r w:rsidRPr="002D23C3">
          <w:rPr>
            <w:rFonts w:ascii="Verdana" w:eastAsia="Times New Roman" w:hAnsi="Verdana" w:cs="Times New Roman"/>
            <w:color w:val="0068AC"/>
            <w:sz w:val="24"/>
            <w:szCs w:val="24"/>
            <w:u w:val="single"/>
          </w:rPr>
          <w:t> regulations,</w:t>
        </w:r>
      </w:hyperlink>
      <w:r w:rsidRPr="002D23C3">
        <w:rPr>
          <w:rFonts w:ascii="Verdana" w:eastAsia="Times New Roman" w:hAnsi="Verdana" w:cs="Times New Roman"/>
          <w:color w:val="333333"/>
          <w:sz w:val="24"/>
          <w:szCs w:val="24"/>
        </w:rPr>
        <w:t> the </w:t>
      </w:r>
      <w:hyperlink r:id="rId9" w:history="1">
        <w:r w:rsidRPr="002D23C3">
          <w:rPr>
            <w:rFonts w:ascii="Verdana" w:eastAsia="Times New Roman" w:hAnsi="Verdana" w:cs="Times New Roman"/>
            <w:color w:val="0068AC"/>
            <w:sz w:val="24"/>
            <w:szCs w:val="24"/>
            <w:u w:val="single"/>
          </w:rPr>
          <w:t>Surgeon General</w:t>
        </w:r>
      </w:hyperlink>
      <w:r w:rsidRPr="002D23C3">
        <w:rPr>
          <w:rFonts w:ascii="Verdana" w:eastAsia="Times New Roman" w:hAnsi="Verdana" w:cs="Times New Roman"/>
          <w:color w:val="333333"/>
          <w:sz w:val="24"/>
          <w:szCs w:val="24"/>
        </w:rPr>
        <w:t> may provide for such inspection, fumigation, disinfection, sanitation, pest extermination, destruction of animals or articles found to be so infected or contaminated as to be sources of dangerous infection to human beings, and other measures, as in his judgment may be necessary.</w:t>
      </w:r>
    </w:p>
    <w:p w14:paraId="4CFBDA02" w14:textId="77777777" w:rsidR="002D23C3" w:rsidRPr="002D23C3" w:rsidRDefault="002D23C3" w:rsidP="002D23C3">
      <w:pPr>
        <w:shd w:val="clear" w:color="auto" w:fill="FFFFFF"/>
        <w:spacing w:after="0" w:line="240" w:lineRule="auto"/>
        <w:rPr>
          <w:rFonts w:ascii="Verdana" w:eastAsia="Times New Roman" w:hAnsi="Verdana" w:cs="Times New Roman"/>
          <w:color w:val="333333"/>
          <w:sz w:val="24"/>
          <w:szCs w:val="24"/>
        </w:rPr>
      </w:pPr>
      <w:bookmarkStart w:id="1" w:name="b"/>
      <w:bookmarkEnd w:id="1"/>
      <w:r w:rsidRPr="002D23C3">
        <w:rPr>
          <w:rFonts w:ascii="Verdana" w:eastAsia="Times New Roman" w:hAnsi="Verdana" w:cs="Times New Roman"/>
          <w:b/>
          <w:bCs/>
          <w:color w:val="333333"/>
          <w:sz w:val="24"/>
          <w:szCs w:val="24"/>
        </w:rPr>
        <w:t>(b)</w:t>
      </w:r>
      <w:r w:rsidRPr="002D23C3">
        <w:rPr>
          <w:rFonts w:ascii="Verdana" w:eastAsia="Times New Roman" w:hAnsi="Verdana" w:cs="Times New Roman"/>
          <w:b/>
          <w:bCs/>
          <w:smallCaps/>
          <w:color w:val="333333"/>
          <w:sz w:val="24"/>
          <w:szCs w:val="24"/>
        </w:rPr>
        <w:t>Apprehension, detention, or conditional release of individuals</w:t>
      </w:r>
    </w:p>
    <w:p w14:paraId="74E76EBE" w14:textId="77777777" w:rsidR="002D23C3" w:rsidRPr="002D23C3" w:rsidRDefault="002D23C3" w:rsidP="002D23C3">
      <w:pPr>
        <w:shd w:val="clear" w:color="auto" w:fill="FFFFFF"/>
        <w:spacing w:after="150" w:line="240" w:lineRule="auto"/>
        <w:rPr>
          <w:rFonts w:ascii="Verdana" w:eastAsia="Times New Roman" w:hAnsi="Verdana" w:cs="Times New Roman"/>
          <w:color w:val="333333"/>
          <w:sz w:val="24"/>
          <w:szCs w:val="24"/>
        </w:rPr>
      </w:pPr>
      <w:r w:rsidRPr="002D23C3">
        <w:rPr>
          <w:rFonts w:ascii="Verdana" w:eastAsia="Times New Roman" w:hAnsi="Verdana" w:cs="Times New Roman"/>
          <w:color w:val="333333"/>
          <w:sz w:val="24"/>
          <w:szCs w:val="24"/>
        </w:rPr>
        <w:t>Regulations prescribed under this section shall not provide for the apprehension, detention, or conditional release of individuals except for the purpose of preventing the introduction, transmission, or spread of such communicable diseases as may be specified from time to time in Executive orders of the President upon the recommendation of the </w:t>
      </w:r>
      <w:hyperlink r:id="rId10" w:history="1">
        <w:r w:rsidRPr="002D23C3">
          <w:rPr>
            <w:rFonts w:ascii="Verdana" w:eastAsia="Times New Roman" w:hAnsi="Verdana" w:cs="Times New Roman"/>
            <w:color w:val="0068AC"/>
            <w:sz w:val="24"/>
            <w:szCs w:val="24"/>
            <w:u w:val="single"/>
          </w:rPr>
          <w:t>Secretary</w:t>
        </w:r>
      </w:hyperlink>
      <w:r w:rsidRPr="002D23C3">
        <w:rPr>
          <w:rFonts w:ascii="Verdana" w:eastAsia="Times New Roman" w:hAnsi="Verdana" w:cs="Times New Roman"/>
          <w:color w:val="333333"/>
          <w:sz w:val="24"/>
          <w:szCs w:val="24"/>
        </w:rPr>
        <w:t>, in consultation with the </w:t>
      </w:r>
      <w:hyperlink r:id="rId11" w:history="1">
        <w:r w:rsidRPr="002D23C3">
          <w:rPr>
            <w:rFonts w:ascii="Verdana" w:eastAsia="Times New Roman" w:hAnsi="Verdana" w:cs="Times New Roman"/>
            <w:color w:val="0068AC"/>
            <w:sz w:val="24"/>
            <w:szCs w:val="24"/>
            <w:u w:val="single"/>
          </w:rPr>
          <w:t>Surgeon General</w:t>
        </w:r>
      </w:hyperlink>
      <w:r w:rsidRPr="002D23C3">
        <w:rPr>
          <w:rFonts w:ascii="Verdana" w:eastAsia="Times New Roman" w:hAnsi="Verdana" w:cs="Times New Roman"/>
          <w:color w:val="333333"/>
          <w:sz w:val="24"/>
          <w:szCs w:val="24"/>
        </w:rPr>
        <w:t>,</w:t>
      </w:r>
      <w:bookmarkStart w:id="2" w:name="fn002111-ref"/>
      <w:r w:rsidRPr="002D23C3">
        <w:rPr>
          <w:rFonts w:ascii="Verdana" w:eastAsia="Times New Roman" w:hAnsi="Verdana" w:cs="Times New Roman"/>
          <w:color w:val="333333"/>
          <w:sz w:val="24"/>
          <w:szCs w:val="24"/>
        </w:rPr>
        <w:fldChar w:fldCharType="begin"/>
      </w:r>
      <w:r w:rsidRPr="002D23C3">
        <w:rPr>
          <w:rFonts w:ascii="Verdana" w:eastAsia="Times New Roman" w:hAnsi="Verdana" w:cs="Times New Roman"/>
          <w:color w:val="333333"/>
          <w:sz w:val="24"/>
          <w:szCs w:val="24"/>
        </w:rPr>
        <w:instrText xml:space="preserve"> HYPERLINK "https://www.law.cornell.edu/uscode/text/42/264" \l "fn002111" </w:instrText>
      </w:r>
      <w:r w:rsidRPr="002D23C3">
        <w:rPr>
          <w:rFonts w:ascii="Verdana" w:eastAsia="Times New Roman" w:hAnsi="Verdana" w:cs="Times New Roman"/>
          <w:color w:val="333333"/>
          <w:sz w:val="24"/>
          <w:szCs w:val="24"/>
        </w:rPr>
        <w:fldChar w:fldCharType="separate"/>
      </w:r>
      <w:r w:rsidRPr="002D23C3">
        <w:rPr>
          <w:rFonts w:ascii="Verdana" w:eastAsia="Times New Roman" w:hAnsi="Verdana" w:cs="Times New Roman"/>
          <w:color w:val="0068AC"/>
          <w:sz w:val="17"/>
          <w:szCs w:val="17"/>
          <w:u w:val="single"/>
        </w:rPr>
        <w:t>[1]</w:t>
      </w:r>
      <w:r w:rsidRPr="002D23C3">
        <w:rPr>
          <w:rFonts w:ascii="Verdana" w:eastAsia="Times New Roman" w:hAnsi="Verdana" w:cs="Times New Roman"/>
          <w:color w:val="333333"/>
          <w:sz w:val="24"/>
          <w:szCs w:val="24"/>
        </w:rPr>
        <w:fldChar w:fldCharType="end"/>
      </w:r>
      <w:bookmarkEnd w:id="2"/>
      <w:r w:rsidRPr="002D23C3">
        <w:rPr>
          <w:rFonts w:ascii="Verdana" w:eastAsia="Times New Roman" w:hAnsi="Verdana" w:cs="Times New Roman"/>
          <w:color w:val="333333"/>
          <w:sz w:val="24"/>
          <w:szCs w:val="24"/>
        </w:rPr>
        <w:t>.</w:t>
      </w:r>
    </w:p>
    <w:p w14:paraId="6D905E11" w14:textId="77777777" w:rsidR="002D23C3" w:rsidRPr="002D23C3" w:rsidRDefault="002D23C3" w:rsidP="002D23C3">
      <w:pPr>
        <w:shd w:val="clear" w:color="auto" w:fill="FFFFFF"/>
        <w:spacing w:after="0" w:line="240" w:lineRule="auto"/>
        <w:rPr>
          <w:rFonts w:ascii="Verdana" w:eastAsia="Times New Roman" w:hAnsi="Verdana" w:cs="Times New Roman"/>
          <w:color w:val="333333"/>
          <w:sz w:val="24"/>
          <w:szCs w:val="24"/>
        </w:rPr>
      </w:pPr>
      <w:bookmarkStart w:id="3" w:name="c"/>
      <w:bookmarkEnd w:id="3"/>
      <w:r w:rsidRPr="002D23C3">
        <w:rPr>
          <w:rFonts w:ascii="Verdana" w:eastAsia="Times New Roman" w:hAnsi="Verdana" w:cs="Times New Roman"/>
          <w:b/>
          <w:bCs/>
          <w:color w:val="333333"/>
          <w:sz w:val="24"/>
          <w:szCs w:val="24"/>
        </w:rPr>
        <w:t>(c)</w:t>
      </w:r>
      <w:r w:rsidRPr="002D23C3">
        <w:rPr>
          <w:rFonts w:ascii="Verdana" w:eastAsia="Times New Roman" w:hAnsi="Verdana" w:cs="Times New Roman"/>
          <w:b/>
          <w:bCs/>
          <w:smallCaps/>
          <w:color w:val="333333"/>
          <w:sz w:val="24"/>
          <w:szCs w:val="24"/>
        </w:rPr>
        <w:t>Application of regulations to persons entering from foreign countries</w:t>
      </w:r>
    </w:p>
    <w:p w14:paraId="56759382" w14:textId="77777777" w:rsidR="002D23C3" w:rsidRPr="002D23C3" w:rsidRDefault="002D23C3" w:rsidP="002D23C3">
      <w:pPr>
        <w:shd w:val="clear" w:color="auto" w:fill="FFFFFF"/>
        <w:spacing w:after="150" w:line="240" w:lineRule="auto"/>
        <w:rPr>
          <w:rFonts w:ascii="Verdana" w:eastAsia="Times New Roman" w:hAnsi="Verdana" w:cs="Times New Roman"/>
          <w:color w:val="333333"/>
          <w:sz w:val="24"/>
          <w:szCs w:val="24"/>
        </w:rPr>
      </w:pPr>
      <w:r w:rsidRPr="002D23C3">
        <w:rPr>
          <w:rFonts w:ascii="Verdana" w:eastAsia="Times New Roman" w:hAnsi="Verdana" w:cs="Times New Roman"/>
          <w:color w:val="333333"/>
          <w:sz w:val="24"/>
          <w:szCs w:val="24"/>
        </w:rPr>
        <w:t>Except as provided in subsection (d), </w:t>
      </w:r>
      <w:hyperlink r:id="rId12" w:history="1">
        <w:r w:rsidRPr="002D23C3">
          <w:rPr>
            <w:rFonts w:ascii="Verdana" w:eastAsia="Times New Roman" w:hAnsi="Verdana" w:cs="Times New Roman"/>
            <w:color w:val="0068AC"/>
            <w:sz w:val="24"/>
            <w:szCs w:val="24"/>
            <w:u w:val="single"/>
          </w:rPr>
          <w:t>regulations</w:t>
        </w:r>
      </w:hyperlink>
      <w:r w:rsidRPr="002D23C3">
        <w:rPr>
          <w:rFonts w:ascii="Verdana" w:eastAsia="Times New Roman" w:hAnsi="Verdana" w:cs="Times New Roman"/>
          <w:color w:val="333333"/>
          <w:sz w:val="24"/>
          <w:szCs w:val="24"/>
        </w:rPr>
        <w:t> prescribed under this section, insofar as they provide for the apprehension, detention, examination, or conditional release of individuals, shall be applicable only to individuals coming into a State or possession from a foreign country or a possession.</w:t>
      </w:r>
    </w:p>
    <w:p w14:paraId="77A8BA44" w14:textId="77777777" w:rsidR="002D23C3" w:rsidRPr="002D23C3" w:rsidRDefault="002D23C3" w:rsidP="002D23C3">
      <w:pPr>
        <w:shd w:val="clear" w:color="auto" w:fill="FFFFFF"/>
        <w:spacing w:after="0" w:line="240" w:lineRule="auto"/>
        <w:rPr>
          <w:rFonts w:ascii="Verdana" w:eastAsia="Times New Roman" w:hAnsi="Verdana" w:cs="Times New Roman"/>
          <w:color w:val="333333"/>
          <w:sz w:val="24"/>
          <w:szCs w:val="24"/>
        </w:rPr>
      </w:pPr>
      <w:bookmarkStart w:id="4" w:name="d"/>
      <w:bookmarkEnd w:id="4"/>
      <w:r w:rsidRPr="002D23C3">
        <w:rPr>
          <w:rFonts w:ascii="Verdana" w:eastAsia="Times New Roman" w:hAnsi="Verdana" w:cs="Times New Roman"/>
          <w:b/>
          <w:bCs/>
          <w:color w:val="333333"/>
          <w:sz w:val="24"/>
          <w:szCs w:val="24"/>
        </w:rPr>
        <w:t>(d)</w:t>
      </w:r>
      <w:r w:rsidRPr="002D23C3">
        <w:rPr>
          <w:rFonts w:ascii="Verdana" w:eastAsia="Times New Roman" w:hAnsi="Verdana" w:cs="Times New Roman"/>
          <w:b/>
          <w:bCs/>
          <w:smallCaps/>
          <w:color w:val="333333"/>
          <w:sz w:val="24"/>
          <w:szCs w:val="24"/>
        </w:rPr>
        <w:t>Apprehension and examination of persons reasonably believed to be infected</w:t>
      </w:r>
    </w:p>
    <w:p w14:paraId="2B3DD5FF" w14:textId="3977C23B" w:rsidR="002D23C3" w:rsidRPr="002D23C3" w:rsidRDefault="002D23C3" w:rsidP="002D23C3">
      <w:pPr>
        <w:shd w:val="clear" w:color="auto" w:fill="FFFFFF"/>
        <w:spacing w:after="0" w:line="240" w:lineRule="auto"/>
        <w:ind w:left="720" w:hanging="90"/>
        <w:rPr>
          <w:rFonts w:ascii="Verdana" w:eastAsia="Times New Roman" w:hAnsi="Verdana" w:cs="Times New Roman"/>
          <w:color w:val="333333"/>
          <w:sz w:val="24"/>
          <w:szCs w:val="24"/>
        </w:rPr>
      </w:pPr>
      <w:bookmarkStart w:id="5" w:name="d_1"/>
      <w:bookmarkEnd w:id="5"/>
      <w:r w:rsidRPr="002D23C3">
        <w:rPr>
          <w:rFonts w:ascii="Verdana" w:eastAsia="Times New Roman" w:hAnsi="Verdana" w:cs="Times New Roman"/>
          <w:b/>
          <w:bCs/>
          <w:color w:val="333333"/>
          <w:sz w:val="24"/>
          <w:szCs w:val="24"/>
        </w:rPr>
        <w:t>(1)</w:t>
      </w:r>
      <w:r>
        <w:rPr>
          <w:rFonts w:ascii="Verdana" w:eastAsia="Times New Roman" w:hAnsi="Verdana" w:cs="Times New Roman"/>
          <w:color w:val="333333"/>
          <w:sz w:val="24"/>
          <w:szCs w:val="24"/>
        </w:rPr>
        <w:t xml:space="preserve"> </w:t>
      </w:r>
      <w:hyperlink r:id="rId13" w:history="1">
        <w:r w:rsidRPr="002D23C3">
          <w:rPr>
            <w:rFonts w:ascii="Verdana" w:eastAsia="Times New Roman" w:hAnsi="Verdana" w:cs="Times New Roman"/>
            <w:color w:val="0068AC"/>
            <w:sz w:val="24"/>
            <w:szCs w:val="24"/>
            <w:u w:val="single"/>
          </w:rPr>
          <w:t>Regulations</w:t>
        </w:r>
      </w:hyperlink>
      <w:r w:rsidRPr="002D23C3">
        <w:rPr>
          <w:rFonts w:ascii="Verdana" w:eastAsia="Times New Roman" w:hAnsi="Verdana" w:cs="Times New Roman"/>
          <w:color w:val="333333"/>
          <w:sz w:val="24"/>
          <w:szCs w:val="24"/>
        </w:rPr>
        <w:t> prescribed under this section may provide for the apprehension and examination of any individual reasonably believed to be infected with a communicable disease in a </w:t>
      </w:r>
      <w:hyperlink r:id="rId14" w:history="1">
        <w:r w:rsidRPr="002D23C3">
          <w:rPr>
            <w:rFonts w:ascii="Verdana" w:eastAsia="Times New Roman" w:hAnsi="Verdana" w:cs="Times New Roman"/>
            <w:color w:val="0068AC"/>
            <w:sz w:val="24"/>
            <w:szCs w:val="24"/>
            <w:u w:val="single"/>
          </w:rPr>
          <w:t>qualifying stage</w:t>
        </w:r>
      </w:hyperlink>
      <w:r w:rsidRPr="002D23C3">
        <w:rPr>
          <w:rFonts w:ascii="Verdana" w:eastAsia="Times New Roman" w:hAnsi="Verdana" w:cs="Times New Roman"/>
          <w:color w:val="333333"/>
          <w:sz w:val="24"/>
          <w:szCs w:val="24"/>
        </w:rPr>
        <w:t> and (A) to be moving or about to move from a State to another State; or (B) to be a probable source of infection to individuals who, while infected with such disease in a </w:t>
      </w:r>
      <w:hyperlink r:id="rId15" w:history="1">
        <w:r w:rsidRPr="002D23C3">
          <w:rPr>
            <w:rFonts w:ascii="Verdana" w:eastAsia="Times New Roman" w:hAnsi="Verdana" w:cs="Times New Roman"/>
            <w:color w:val="0068AC"/>
            <w:sz w:val="24"/>
            <w:szCs w:val="24"/>
            <w:u w:val="single"/>
          </w:rPr>
          <w:t>qualifying stage</w:t>
        </w:r>
      </w:hyperlink>
      <w:r w:rsidRPr="002D23C3">
        <w:rPr>
          <w:rFonts w:ascii="Verdana" w:eastAsia="Times New Roman" w:hAnsi="Verdana" w:cs="Times New Roman"/>
          <w:color w:val="333333"/>
          <w:sz w:val="24"/>
          <w:szCs w:val="24"/>
        </w:rPr>
        <w:t>, will be moving from a State to another State. Such</w:t>
      </w:r>
      <w:hyperlink r:id="rId16" w:history="1">
        <w:r w:rsidRPr="002D23C3">
          <w:rPr>
            <w:rFonts w:ascii="Verdana" w:eastAsia="Times New Roman" w:hAnsi="Verdana" w:cs="Times New Roman"/>
            <w:color w:val="0068AC"/>
            <w:sz w:val="24"/>
            <w:szCs w:val="24"/>
            <w:u w:val="single"/>
          </w:rPr>
          <w:t> regulations </w:t>
        </w:r>
      </w:hyperlink>
      <w:r w:rsidRPr="002D23C3">
        <w:rPr>
          <w:rFonts w:ascii="Verdana" w:eastAsia="Times New Roman" w:hAnsi="Verdana" w:cs="Times New Roman"/>
          <w:color w:val="333333"/>
          <w:sz w:val="24"/>
          <w:szCs w:val="24"/>
        </w:rPr>
        <w:t>may provide that if upon examination any such individual is found to be infected, he may be detained for such time and in such manner as may be reasonably necessary. For purposes of this subsection, the term “State” includes, in addition to the several States, only the District of Columbia.</w:t>
      </w:r>
    </w:p>
    <w:p w14:paraId="7E476ACE" w14:textId="77777777" w:rsidR="002D23C3" w:rsidRPr="002D23C3" w:rsidRDefault="002D23C3" w:rsidP="002D23C3">
      <w:pPr>
        <w:shd w:val="clear" w:color="auto" w:fill="FFFFFF"/>
        <w:spacing w:after="0" w:line="240" w:lineRule="auto"/>
        <w:ind w:left="720" w:hanging="90"/>
        <w:rPr>
          <w:rFonts w:ascii="Verdana" w:eastAsia="Times New Roman" w:hAnsi="Verdana" w:cs="Times New Roman"/>
          <w:color w:val="333333"/>
          <w:sz w:val="24"/>
          <w:szCs w:val="24"/>
        </w:rPr>
      </w:pPr>
      <w:bookmarkStart w:id="6" w:name="d_2"/>
      <w:bookmarkEnd w:id="6"/>
      <w:r w:rsidRPr="002D23C3">
        <w:rPr>
          <w:rFonts w:ascii="Verdana" w:eastAsia="Times New Roman" w:hAnsi="Verdana" w:cs="Times New Roman"/>
          <w:b/>
          <w:bCs/>
          <w:color w:val="333333"/>
          <w:sz w:val="24"/>
          <w:szCs w:val="24"/>
        </w:rPr>
        <w:t>(2)</w:t>
      </w:r>
      <w:r w:rsidRPr="002D23C3">
        <w:rPr>
          <w:rFonts w:ascii="Verdana" w:eastAsia="Times New Roman" w:hAnsi="Verdana" w:cs="Times New Roman"/>
          <w:color w:val="333333"/>
          <w:sz w:val="24"/>
          <w:szCs w:val="24"/>
        </w:rPr>
        <w:t>For purposes of this subsection, the term “</w:t>
      </w:r>
      <w:hyperlink r:id="rId17" w:history="1">
        <w:r w:rsidRPr="002D23C3">
          <w:rPr>
            <w:rFonts w:ascii="Verdana" w:eastAsia="Times New Roman" w:hAnsi="Verdana" w:cs="Times New Roman"/>
            <w:color w:val="0068AC"/>
            <w:sz w:val="24"/>
            <w:szCs w:val="24"/>
            <w:u w:val="single"/>
          </w:rPr>
          <w:t>qualifying stage</w:t>
        </w:r>
      </w:hyperlink>
      <w:r w:rsidRPr="002D23C3">
        <w:rPr>
          <w:rFonts w:ascii="Verdana" w:eastAsia="Times New Roman" w:hAnsi="Verdana" w:cs="Times New Roman"/>
          <w:color w:val="333333"/>
          <w:sz w:val="24"/>
          <w:szCs w:val="24"/>
        </w:rPr>
        <w:t>”, with respect to a communicable disease, means that such disease—</w:t>
      </w:r>
    </w:p>
    <w:p w14:paraId="703EE777" w14:textId="74289208" w:rsidR="002D23C3" w:rsidRPr="002D23C3" w:rsidRDefault="002D23C3" w:rsidP="002D23C3">
      <w:pPr>
        <w:shd w:val="clear" w:color="auto" w:fill="FFFFFF"/>
        <w:spacing w:after="0" w:line="240" w:lineRule="auto"/>
        <w:ind w:left="1170"/>
        <w:rPr>
          <w:rFonts w:ascii="Verdana" w:eastAsia="Times New Roman" w:hAnsi="Verdana" w:cs="Times New Roman"/>
          <w:color w:val="333333"/>
          <w:sz w:val="24"/>
          <w:szCs w:val="24"/>
        </w:rPr>
      </w:pPr>
      <w:bookmarkStart w:id="7" w:name="d_2_A"/>
      <w:bookmarkEnd w:id="7"/>
      <w:r w:rsidRPr="002D23C3">
        <w:rPr>
          <w:rFonts w:ascii="Verdana" w:eastAsia="Times New Roman" w:hAnsi="Verdana" w:cs="Times New Roman"/>
          <w:b/>
          <w:bCs/>
          <w:color w:val="333333"/>
          <w:sz w:val="24"/>
          <w:szCs w:val="24"/>
        </w:rPr>
        <w:t>(A)</w:t>
      </w:r>
      <w:r>
        <w:rPr>
          <w:rFonts w:ascii="Verdana" w:eastAsia="Times New Roman" w:hAnsi="Verdana" w:cs="Times New Roman"/>
          <w:color w:val="333333"/>
          <w:sz w:val="24"/>
          <w:szCs w:val="24"/>
        </w:rPr>
        <w:t xml:space="preserve"> </w:t>
      </w:r>
      <w:r w:rsidRPr="002D23C3">
        <w:rPr>
          <w:rFonts w:ascii="Verdana" w:eastAsia="Times New Roman" w:hAnsi="Verdana" w:cs="Times New Roman"/>
          <w:color w:val="333333"/>
          <w:sz w:val="24"/>
          <w:szCs w:val="24"/>
        </w:rPr>
        <w:t>is in a communicable stage; or</w:t>
      </w:r>
    </w:p>
    <w:p w14:paraId="73EB9359" w14:textId="1F031D45" w:rsidR="002D23C3" w:rsidRPr="002D23C3" w:rsidRDefault="002D23C3" w:rsidP="002D23C3">
      <w:pPr>
        <w:shd w:val="clear" w:color="auto" w:fill="FFFFFF"/>
        <w:spacing w:after="0" w:line="240" w:lineRule="auto"/>
        <w:ind w:left="1170"/>
        <w:rPr>
          <w:rFonts w:ascii="Verdana" w:eastAsia="Times New Roman" w:hAnsi="Verdana" w:cs="Times New Roman"/>
          <w:color w:val="333333"/>
          <w:sz w:val="24"/>
          <w:szCs w:val="24"/>
        </w:rPr>
      </w:pPr>
      <w:bookmarkStart w:id="8" w:name="d_2_B"/>
      <w:bookmarkEnd w:id="8"/>
      <w:r w:rsidRPr="002D23C3">
        <w:rPr>
          <w:rFonts w:ascii="Verdana" w:eastAsia="Times New Roman" w:hAnsi="Verdana" w:cs="Times New Roman"/>
          <w:b/>
          <w:bCs/>
          <w:color w:val="333333"/>
          <w:sz w:val="24"/>
          <w:szCs w:val="24"/>
        </w:rPr>
        <w:t>(B)</w:t>
      </w:r>
      <w:r>
        <w:rPr>
          <w:rFonts w:ascii="Verdana" w:eastAsia="Times New Roman" w:hAnsi="Verdana" w:cs="Times New Roman"/>
          <w:color w:val="333333"/>
          <w:sz w:val="24"/>
          <w:szCs w:val="24"/>
        </w:rPr>
        <w:t xml:space="preserve"> </w:t>
      </w:r>
      <w:r w:rsidRPr="002D23C3">
        <w:rPr>
          <w:rFonts w:ascii="Verdana" w:eastAsia="Times New Roman" w:hAnsi="Verdana" w:cs="Times New Roman"/>
          <w:color w:val="333333"/>
          <w:sz w:val="24"/>
          <w:szCs w:val="24"/>
        </w:rPr>
        <w:t xml:space="preserve">is in a </w:t>
      </w:r>
      <w:proofErr w:type="spellStart"/>
      <w:r w:rsidRPr="002D23C3">
        <w:rPr>
          <w:rFonts w:ascii="Verdana" w:eastAsia="Times New Roman" w:hAnsi="Verdana" w:cs="Times New Roman"/>
          <w:color w:val="333333"/>
          <w:sz w:val="24"/>
          <w:szCs w:val="24"/>
        </w:rPr>
        <w:t>precommunicable</w:t>
      </w:r>
      <w:proofErr w:type="spellEnd"/>
      <w:r w:rsidRPr="002D23C3">
        <w:rPr>
          <w:rFonts w:ascii="Verdana" w:eastAsia="Times New Roman" w:hAnsi="Verdana" w:cs="Times New Roman"/>
          <w:color w:val="333333"/>
          <w:sz w:val="24"/>
          <w:szCs w:val="24"/>
        </w:rPr>
        <w:t xml:space="preserve"> stage, if the disease would be likely to cause a public health emergency if transmitted to other individuals.</w:t>
      </w:r>
    </w:p>
    <w:p w14:paraId="2F80A87B" w14:textId="77777777" w:rsidR="002D23C3" w:rsidRPr="002D23C3" w:rsidRDefault="002D23C3" w:rsidP="002D23C3">
      <w:pPr>
        <w:shd w:val="clear" w:color="auto" w:fill="FFFFFF"/>
        <w:spacing w:after="0" w:line="240" w:lineRule="auto"/>
        <w:rPr>
          <w:rFonts w:ascii="Verdana" w:eastAsia="Times New Roman" w:hAnsi="Verdana" w:cs="Times New Roman"/>
          <w:color w:val="333333"/>
          <w:sz w:val="24"/>
          <w:szCs w:val="24"/>
        </w:rPr>
      </w:pPr>
      <w:bookmarkStart w:id="9" w:name="e"/>
      <w:bookmarkEnd w:id="9"/>
      <w:r w:rsidRPr="002D23C3">
        <w:rPr>
          <w:rFonts w:ascii="Verdana" w:eastAsia="Times New Roman" w:hAnsi="Verdana" w:cs="Times New Roman"/>
          <w:b/>
          <w:bCs/>
          <w:color w:val="333333"/>
          <w:sz w:val="24"/>
          <w:szCs w:val="24"/>
        </w:rPr>
        <w:t>(e)</w:t>
      </w:r>
      <w:r w:rsidRPr="002D23C3">
        <w:rPr>
          <w:rFonts w:ascii="Verdana" w:eastAsia="Times New Roman" w:hAnsi="Verdana" w:cs="Times New Roman"/>
          <w:b/>
          <w:bCs/>
          <w:smallCaps/>
          <w:color w:val="333333"/>
          <w:sz w:val="24"/>
          <w:szCs w:val="24"/>
        </w:rPr>
        <w:t>Preemption</w:t>
      </w:r>
    </w:p>
    <w:p w14:paraId="75CC46EE" w14:textId="568AE785" w:rsidR="002D23C3" w:rsidRPr="002D23C3" w:rsidRDefault="002D23C3" w:rsidP="002D23C3">
      <w:pPr>
        <w:shd w:val="clear" w:color="auto" w:fill="FFFFFF"/>
        <w:spacing w:after="150" w:line="240" w:lineRule="auto"/>
        <w:rPr>
          <w:rFonts w:ascii="Verdana" w:eastAsia="Times New Roman" w:hAnsi="Verdana" w:cs="Times New Roman"/>
          <w:color w:val="333333"/>
          <w:sz w:val="24"/>
          <w:szCs w:val="24"/>
        </w:rPr>
      </w:pPr>
      <w:r w:rsidRPr="002D23C3">
        <w:rPr>
          <w:rFonts w:ascii="Verdana" w:eastAsia="Times New Roman" w:hAnsi="Verdana" w:cs="Times New Roman"/>
          <w:color w:val="333333"/>
          <w:sz w:val="24"/>
          <w:szCs w:val="24"/>
        </w:rPr>
        <w:t>Nothing in this section or </w:t>
      </w:r>
      <w:hyperlink r:id="rId18" w:history="1">
        <w:r w:rsidRPr="002D23C3">
          <w:rPr>
            <w:rFonts w:ascii="Verdana" w:eastAsia="Times New Roman" w:hAnsi="Verdana" w:cs="Times New Roman"/>
            <w:color w:val="0068AC"/>
            <w:sz w:val="24"/>
            <w:szCs w:val="24"/>
            <w:u w:val="single"/>
          </w:rPr>
          <w:t>section 266 of this title</w:t>
        </w:r>
      </w:hyperlink>
      <w:r w:rsidRPr="002D23C3">
        <w:rPr>
          <w:rFonts w:ascii="Verdana" w:eastAsia="Times New Roman" w:hAnsi="Verdana" w:cs="Times New Roman"/>
          <w:color w:val="333333"/>
          <w:sz w:val="24"/>
          <w:szCs w:val="24"/>
        </w:rPr>
        <w:t>, or</w:t>
      </w:r>
      <w:r>
        <w:rPr>
          <w:rFonts w:ascii="Verdana" w:eastAsia="Times New Roman" w:hAnsi="Verdana" w:cs="Times New Roman"/>
          <w:color w:val="333333"/>
          <w:sz w:val="24"/>
          <w:szCs w:val="24"/>
        </w:rPr>
        <w:t xml:space="preserve"> </w:t>
      </w:r>
      <w:r w:rsidRPr="002D23C3">
        <w:rPr>
          <w:rFonts w:ascii="Verdana" w:eastAsia="Times New Roman" w:hAnsi="Verdana" w:cs="Times New Roman"/>
          <w:color w:val="333333"/>
          <w:sz w:val="24"/>
          <w:szCs w:val="24"/>
        </w:rPr>
        <w:t>the</w:t>
      </w:r>
      <w:r>
        <w:rPr>
          <w:rFonts w:ascii="Verdana" w:eastAsia="Times New Roman" w:hAnsi="Verdana" w:cs="Times New Roman"/>
          <w:color w:val="333333"/>
          <w:sz w:val="24"/>
          <w:szCs w:val="24"/>
        </w:rPr>
        <w:t xml:space="preserve"> regulations </w:t>
      </w:r>
      <w:r w:rsidRPr="002D23C3">
        <w:rPr>
          <w:rFonts w:ascii="Verdana" w:eastAsia="Times New Roman" w:hAnsi="Verdana" w:cs="Times New Roman"/>
          <w:color w:val="333333"/>
          <w:sz w:val="24"/>
          <w:szCs w:val="24"/>
        </w:rPr>
        <w:t>promulgated under such sections, may be construed as superseding any provision under State law (including</w:t>
      </w:r>
      <w:hyperlink r:id="rId19" w:history="1">
        <w:r w:rsidRPr="002D23C3">
          <w:rPr>
            <w:rFonts w:ascii="Verdana" w:eastAsia="Times New Roman" w:hAnsi="Verdana" w:cs="Times New Roman"/>
            <w:color w:val="0068AC"/>
            <w:sz w:val="24"/>
            <w:szCs w:val="24"/>
            <w:u w:val="single"/>
          </w:rPr>
          <w:t> regulations </w:t>
        </w:r>
      </w:hyperlink>
      <w:r w:rsidRPr="002D23C3">
        <w:rPr>
          <w:rFonts w:ascii="Verdana" w:eastAsia="Times New Roman" w:hAnsi="Verdana" w:cs="Times New Roman"/>
          <w:color w:val="333333"/>
          <w:sz w:val="24"/>
          <w:szCs w:val="24"/>
        </w:rPr>
        <w:t>and including provisions established by political subdivisions of States), except to the extent that such a provision conflicts with an exercise of Federal authority under this section or </w:t>
      </w:r>
      <w:hyperlink r:id="rId20" w:history="1">
        <w:r w:rsidRPr="002D23C3">
          <w:rPr>
            <w:rFonts w:ascii="Verdana" w:eastAsia="Times New Roman" w:hAnsi="Verdana" w:cs="Times New Roman"/>
            <w:color w:val="0068AC"/>
            <w:sz w:val="24"/>
            <w:szCs w:val="24"/>
            <w:u w:val="single"/>
          </w:rPr>
          <w:t>section 266 of this title</w:t>
        </w:r>
      </w:hyperlink>
      <w:r w:rsidRPr="002D23C3">
        <w:rPr>
          <w:rFonts w:ascii="Verdana" w:eastAsia="Times New Roman" w:hAnsi="Verdana" w:cs="Times New Roman"/>
          <w:color w:val="333333"/>
          <w:sz w:val="24"/>
          <w:szCs w:val="24"/>
        </w:rPr>
        <w:t>.</w:t>
      </w:r>
    </w:p>
    <w:p w14:paraId="177F73C6" w14:textId="77777777" w:rsidR="002D23C3" w:rsidRPr="002D23C3" w:rsidRDefault="002D23C3">
      <w:pPr>
        <w:rPr>
          <w:sz w:val="32"/>
          <w:szCs w:val="32"/>
        </w:rPr>
      </w:pPr>
    </w:p>
    <w:p w14:paraId="4BC35FFE" w14:textId="214678BB" w:rsidR="00704927" w:rsidRDefault="00704927"/>
    <w:p w14:paraId="27925AA1" w14:textId="34AB8AE9" w:rsidR="00704927" w:rsidRDefault="00704927"/>
    <w:p w14:paraId="33FCDDDE" w14:textId="06D86398" w:rsidR="00704927" w:rsidRDefault="00704927"/>
    <w:p w14:paraId="36717ECF" w14:textId="77777777" w:rsidR="00704927" w:rsidRDefault="00704927"/>
    <w:sectPr w:rsidR="00704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36C3"/>
    <w:multiLevelType w:val="multilevel"/>
    <w:tmpl w:val="5080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7699F"/>
    <w:multiLevelType w:val="multilevel"/>
    <w:tmpl w:val="70BC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91C75"/>
    <w:multiLevelType w:val="multilevel"/>
    <w:tmpl w:val="CEE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31725"/>
    <w:multiLevelType w:val="multilevel"/>
    <w:tmpl w:val="4AB0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A14EB2"/>
    <w:multiLevelType w:val="multilevel"/>
    <w:tmpl w:val="9D6E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940BBC"/>
    <w:multiLevelType w:val="multilevel"/>
    <w:tmpl w:val="AB4A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752062"/>
    <w:multiLevelType w:val="multilevel"/>
    <w:tmpl w:val="0D56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20634A"/>
    <w:multiLevelType w:val="multilevel"/>
    <w:tmpl w:val="90D4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6E348B"/>
    <w:multiLevelType w:val="multilevel"/>
    <w:tmpl w:val="038A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6D28C2"/>
    <w:multiLevelType w:val="multilevel"/>
    <w:tmpl w:val="ACA2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631457"/>
    <w:multiLevelType w:val="multilevel"/>
    <w:tmpl w:val="157C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C3285B"/>
    <w:multiLevelType w:val="multilevel"/>
    <w:tmpl w:val="D5CE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057348"/>
    <w:multiLevelType w:val="multilevel"/>
    <w:tmpl w:val="B9E4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E308A6"/>
    <w:multiLevelType w:val="multilevel"/>
    <w:tmpl w:val="10B4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0405BC"/>
    <w:multiLevelType w:val="multilevel"/>
    <w:tmpl w:val="70D4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044289"/>
    <w:multiLevelType w:val="multilevel"/>
    <w:tmpl w:val="9386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6B0E71"/>
    <w:multiLevelType w:val="multilevel"/>
    <w:tmpl w:val="8720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6C56B2"/>
    <w:multiLevelType w:val="multilevel"/>
    <w:tmpl w:val="5E48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17"/>
  </w:num>
  <w:num w:numId="4">
    <w:abstractNumId w:val="12"/>
  </w:num>
  <w:num w:numId="5">
    <w:abstractNumId w:val="15"/>
  </w:num>
  <w:num w:numId="6">
    <w:abstractNumId w:val="8"/>
  </w:num>
  <w:num w:numId="7">
    <w:abstractNumId w:val="6"/>
  </w:num>
  <w:num w:numId="8">
    <w:abstractNumId w:val="16"/>
  </w:num>
  <w:num w:numId="9">
    <w:abstractNumId w:val="4"/>
  </w:num>
  <w:num w:numId="10">
    <w:abstractNumId w:val="7"/>
  </w:num>
  <w:num w:numId="11">
    <w:abstractNumId w:val="13"/>
  </w:num>
  <w:num w:numId="12">
    <w:abstractNumId w:val="10"/>
  </w:num>
  <w:num w:numId="13">
    <w:abstractNumId w:val="11"/>
  </w:num>
  <w:num w:numId="14">
    <w:abstractNumId w:val="5"/>
  </w:num>
  <w:num w:numId="15">
    <w:abstractNumId w:val="0"/>
  </w:num>
  <w:num w:numId="16">
    <w:abstractNumId w:val="14"/>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DC"/>
    <w:rsid w:val="002D23C3"/>
    <w:rsid w:val="00704927"/>
    <w:rsid w:val="008E07D3"/>
    <w:rsid w:val="00BA0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9F98"/>
  <w15:chartTrackingRefBased/>
  <w15:docId w15:val="{A66A48F4-49C9-4C63-AEF7-8E8FE768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319619">
      <w:bodyDiv w:val="1"/>
      <w:marLeft w:val="0"/>
      <w:marRight w:val="0"/>
      <w:marTop w:val="0"/>
      <w:marBottom w:val="0"/>
      <w:divBdr>
        <w:top w:val="none" w:sz="0" w:space="0" w:color="auto"/>
        <w:left w:val="none" w:sz="0" w:space="0" w:color="auto"/>
        <w:bottom w:val="none" w:sz="0" w:space="0" w:color="auto"/>
        <w:right w:val="none" w:sz="0" w:space="0" w:color="auto"/>
      </w:divBdr>
    </w:div>
    <w:div w:id="497430234">
      <w:bodyDiv w:val="1"/>
      <w:marLeft w:val="0"/>
      <w:marRight w:val="0"/>
      <w:marTop w:val="0"/>
      <w:marBottom w:val="0"/>
      <w:divBdr>
        <w:top w:val="none" w:sz="0" w:space="0" w:color="auto"/>
        <w:left w:val="none" w:sz="0" w:space="0" w:color="auto"/>
        <w:bottom w:val="none" w:sz="0" w:space="0" w:color="auto"/>
        <w:right w:val="none" w:sz="0" w:space="0" w:color="auto"/>
      </w:divBdr>
      <w:divsChild>
        <w:div w:id="416635835">
          <w:marLeft w:val="0"/>
          <w:marRight w:val="0"/>
          <w:marTop w:val="0"/>
          <w:marBottom w:val="0"/>
          <w:divBdr>
            <w:top w:val="none" w:sz="0" w:space="0" w:color="auto"/>
            <w:left w:val="none" w:sz="0" w:space="0" w:color="auto"/>
            <w:bottom w:val="none" w:sz="0" w:space="0" w:color="auto"/>
            <w:right w:val="none" w:sz="0" w:space="0" w:color="auto"/>
          </w:divBdr>
        </w:div>
        <w:div w:id="682632336">
          <w:marLeft w:val="0"/>
          <w:marRight w:val="0"/>
          <w:marTop w:val="0"/>
          <w:marBottom w:val="0"/>
          <w:divBdr>
            <w:top w:val="none" w:sz="0" w:space="0" w:color="auto"/>
            <w:left w:val="none" w:sz="0" w:space="0" w:color="auto"/>
            <w:bottom w:val="none" w:sz="0" w:space="0" w:color="auto"/>
            <w:right w:val="none" w:sz="0" w:space="0" w:color="auto"/>
          </w:divBdr>
        </w:div>
        <w:div w:id="1137604790">
          <w:marLeft w:val="0"/>
          <w:marRight w:val="0"/>
          <w:marTop w:val="0"/>
          <w:marBottom w:val="0"/>
          <w:divBdr>
            <w:top w:val="none" w:sz="0" w:space="0" w:color="auto"/>
            <w:left w:val="none" w:sz="0" w:space="0" w:color="auto"/>
            <w:bottom w:val="none" w:sz="0" w:space="0" w:color="auto"/>
            <w:right w:val="none" w:sz="0" w:space="0" w:color="auto"/>
          </w:divBdr>
        </w:div>
        <w:div w:id="67925827">
          <w:marLeft w:val="0"/>
          <w:marRight w:val="0"/>
          <w:marTop w:val="0"/>
          <w:marBottom w:val="0"/>
          <w:divBdr>
            <w:top w:val="none" w:sz="0" w:space="0" w:color="auto"/>
            <w:left w:val="none" w:sz="0" w:space="0" w:color="auto"/>
            <w:bottom w:val="none" w:sz="0" w:space="0" w:color="auto"/>
            <w:right w:val="none" w:sz="0" w:space="0" w:color="auto"/>
          </w:divBdr>
        </w:div>
        <w:div w:id="2076008758">
          <w:marLeft w:val="0"/>
          <w:marRight w:val="0"/>
          <w:marTop w:val="0"/>
          <w:marBottom w:val="0"/>
          <w:divBdr>
            <w:top w:val="none" w:sz="0" w:space="0" w:color="auto"/>
            <w:left w:val="none" w:sz="0" w:space="0" w:color="auto"/>
            <w:bottom w:val="none" w:sz="0" w:space="0" w:color="auto"/>
            <w:right w:val="none" w:sz="0" w:space="0" w:color="auto"/>
          </w:divBdr>
        </w:div>
        <w:div w:id="2010330526">
          <w:marLeft w:val="0"/>
          <w:marRight w:val="0"/>
          <w:marTop w:val="0"/>
          <w:marBottom w:val="0"/>
          <w:divBdr>
            <w:top w:val="none" w:sz="0" w:space="0" w:color="auto"/>
            <w:left w:val="none" w:sz="0" w:space="0" w:color="auto"/>
            <w:bottom w:val="none" w:sz="0" w:space="0" w:color="auto"/>
            <w:right w:val="none" w:sz="0" w:space="0" w:color="auto"/>
          </w:divBdr>
        </w:div>
      </w:divsChild>
    </w:div>
    <w:div w:id="1035807304">
      <w:bodyDiv w:val="1"/>
      <w:marLeft w:val="0"/>
      <w:marRight w:val="0"/>
      <w:marTop w:val="0"/>
      <w:marBottom w:val="0"/>
      <w:divBdr>
        <w:top w:val="none" w:sz="0" w:space="0" w:color="auto"/>
        <w:left w:val="none" w:sz="0" w:space="0" w:color="auto"/>
        <w:bottom w:val="none" w:sz="0" w:space="0" w:color="auto"/>
        <w:right w:val="none" w:sz="0" w:space="0" w:color="auto"/>
      </w:divBdr>
      <w:divsChild>
        <w:div w:id="1914076850">
          <w:marLeft w:val="0"/>
          <w:marRight w:val="0"/>
          <w:marTop w:val="0"/>
          <w:marBottom w:val="0"/>
          <w:divBdr>
            <w:top w:val="none" w:sz="0" w:space="0" w:color="auto"/>
            <w:left w:val="none" w:sz="0" w:space="0" w:color="auto"/>
            <w:bottom w:val="none" w:sz="0" w:space="0" w:color="auto"/>
            <w:right w:val="none" w:sz="0" w:space="0" w:color="auto"/>
          </w:divBdr>
        </w:div>
        <w:div w:id="402718930">
          <w:marLeft w:val="0"/>
          <w:marRight w:val="0"/>
          <w:marTop w:val="0"/>
          <w:marBottom w:val="0"/>
          <w:divBdr>
            <w:top w:val="none" w:sz="0" w:space="0" w:color="auto"/>
            <w:left w:val="none" w:sz="0" w:space="0" w:color="auto"/>
            <w:bottom w:val="none" w:sz="0" w:space="0" w:color="auto"/>
            <w:right w:val="none" w:sz="0" w:space="0" w:color="auto"/>
          </w:divBdr>
        </w:div>
        <w:div w:id="1994598874">
          <w:marLeft w:val="0"/>
          <w:marRight w:val="0"/>
          <w:marTop w:val="0"/>
          <w:marBottom w:val="0"/>
          <w:divBdr>
            <w:top w:val="none" w:sz="0" w:space="0" w:color="auto"/>
            <w:left w:val="none" w:sz="0" w:space="0" w:color="auto"/>
            <w:bottom w:val="none" w:sz="0" w:space="0" w:color="auto"/>
            <w:right w:val="none" w:sz="0" w:space="0" w:color="auto"/>
          </w:divBdr>
        </w:div>
        <w:div w:id="817574439">
          <w:marLeft w:val="0"/>
          <w:marRight w:val="0"/>
          <w:marTop w:val="0"/>
          <w:marBottom w:val="0"/>
          <w:divBdr>
            <w:top w:val="none" w:sz="0" w:space="0" w:color="auto"/>
            <w:left w:val="none" w:sz="0" w:space="0" w:color="auto"/>
            <w:bottom w:val="none" w:sz="0" w:space="0" w:color="auto"/>
            <w:right w:val="none" w:sz="0" w:space="0" w:color="auto"/>
          </w:divBdr>
        </w:div>
        <w:div w:id="215549779">
          <w:marLeft w:val="0"/>
          <w:marRight w:val="0"/>
          <w:marTop w:val="0"/>
          <w:marBottom w:val="0"/>
          <w:divBdr>
            <w:top w:val="none" w:sz="0" w:space="0" w:color="auto"/>
            <w:left w:val="none" w:sz="0" w:space="0" w:color="auto"/>
            <w:bottom w:val="none" w:sz="0" w:space="0" w:color="auto"/>
            <w:right w:val="none" w:sz="0" w:space="0" w:color="auto"/>
          </w:divBdr>
        </w:div>
        <w:div w:id="2033725908">
          <w:marLeft w:val="0"/>
          <w:marRight w:val="0"/>
          <w:marTop w:val="0"/>
          <w:marBottom w:val="0"/>
          <w:divBdr>
            <w:top w:val="none" w:sz="0" w:space="0" w:color="auto"/>
            <w:left w:val="none" w:sz="0" w:space="0" w:color="auto"/>
            <w:bottom w:val="none" w:sz="0" w:space="0" w:color="auto"/>
            <w:right w:val="none" w:sz="0" w:space="0" w:color="auto"/>
          </w:divBdr>
        </w:div>
      </w:divsChild>
    </w:div>
    <w:div w:id="1436830379">
      <w:bodyDiv w:val="1"/>
      <w:marLeft w:val="0"/>
      <w:marRight w:val="0"/>
      <w:marTop w:val="0"/>
      <w:marBottom w:val="0"/>
      <w:divBdr>
        <w:top w:val="none" w:sz="0" w:space="0" w:color="auto"/>
        <w:left w:val="none" w:sz="0" w:space="0" w:color="auto"/>
        <w:bottom w:val="none" w:sz="0" w:space="0" w:color="auto"/>
        <w:right w:val="none" w:sz="0" w:space="0" w:color="auto"/>
      </w:divBdr>
    </w:div>
    <w:div w:id="1858424508">
      <w:bodyDiv w:val="1"/>
      <w:marLeft w:val="0"/>
      <w:marRight w:val="0"/>
      <w:marTop w:val="0"/>
      <w:marBottom w:val="0"/>
      <w:divBdr>
        <w:top w:val="none" w:sz="0" w:space="0" w:color="auto"/>
        <w:left w:val="none" w:sz="0" w:space="0" w:color="auto"/>
        <w:bottom w:val="none" w:sz="0" w:space="0" w:color="auto"/>
        <w:right w:val="none" w:sz="0" w:space="0" w:color="auto"/>
      </w:divBdr>
      <w:divsChild>
        <w:div w:id="517739435">
          <w:marLeft w:val="240"/>
          <w:marRight w:val="0"/>
          <w:marTop w:val="60"/>
          <w:marBottom w:val="60"/>
          <w:divBdr>
            <w:top w:val="none" w:sz="0" w:space="0" w:color="auto"/>
            <w:left w:val="none" w:sz="0" w:space="0" w:color="auto"/>
            <w:bottom w:val="none" w:sz="0" w:space="0" w:color="auto"/>
            <w:right w:val="none" w:sz="0" w:space="0" w:color="auto"/>
          </w:divBdr>
          <w:divsChild>
            <w:div w:id="1074859617">
              <w:marLeft w:val="0"/>
              <w:marRight w:val="0"/>
              <w:marTop w:val="0"/>
              <w:marBottom w:val="0"/>
              <w:divBdr>
                <w:top w:val="none" w:sz="0" w:space="0" w:color="auto"/>
                <w:left w:val="none" w:sz="0" w:space="0" w:color="auto"/>
                <w:bottom w:val="none" w:sz="0" w:space="0" w:color="auto"/>
                <w:right w:val="none" w:sz="0" w:space="0" w:color="auto"/>
              </w:divBdr>
            </w:div>
          </w:divsChild>
        </w:div>
        <w:div w:id="610479700">
          <w:marLeft w:val="240"/>
          <w:marRight w:val="0"/>
          <w:marTop w:val="60"/>
          <w:marBottom w:val="60"/>
          <w:divBdr>
            <w:top w:val="none" w:sz="0" w:space="0" w:color="auto"/>
            <w:left w:val="none" w:sz="0" w:space="0" w:color="auto"/>
            <w:bottom w:val="none" w:sz="0" w:space="0" w:color="auto"/>
            <w:right w:val="none" w:sz="0" w:space="0" w:color="auto"/>
          </w:divBdr>
          <w:divsChild>
            <w:div w:id="236089263">
              <w:marLeft w:val="0"/>
              <w:marRight w:val="0"/>
              <w:marTop w:val="0"/>
              <w:marBottom w:val="0"/>
              <w:divBdr>
                <w:top w:val="none" w:sz="0" w:space="0" w:color="auto"/>
                <w:left w:val="none" w:sz="0" w:space="0" w:color="auto"/>
                <w:bottom w:val="none" w:sz="0" w:space="0" w:color="auto"/>
                <w:right w:val="none" w:sz="0" w:space="0" w:color="auto"/>
              </w:divBdr>
            </w:div>
          </w:divsChild>
        </w:div>
        <w:div w:id="1261335354">
          <w:marLeft w:val="240"/>
          <w:marRight w:val="0"/>
          <w:marTop w:val="60"/>
          <w:marBottom w:val="60"/>
          <w:divBdr>
            <w:top w:val="none" w:sz="0" w:space="0" w:color="auto"/>
            <w:left w:val="none" w:sz="0" w:space="0" w:color="auto"/>
            <w:bottom w:val="none" w:sz="0" w:space="0" w:color="auto"/>
            <w:right w:val="none" w:sz="0" w:space="0" w:color="auto"/>
          </w:divBdr>
          <w:divsChild>
            <w:div w:id="1885409607">
              <w:marLeft w:val="0"/>
              <w:marRight w:val="0"/>
              <w:marTop w:val="0"/>
              <w:marBottom w:val="0"/>
              <w:divBdr>
                <w:top w:val="none" w:sz="0" w:space="0" w:color="auto"/>
                <w:left w:val="none" w:sz="0" w:space="0" w:color="auto"/>
                <w:bottom w:val="none" w:sz="0" w:space="0" w:color="auto"/>
                <w:right w:val="none" w:sz="0" w:space="0" w:color="auto"/>
              </w:divBdr>
            </w:div>
          </w:divsChild>
        </w:div>
        <w:div w:id="887957593">
          <w:marLeft w:val="240"/>
          <w:marRight w:val="0"/>
          <w:marTop w:val="60"/>
          <w:marBottom w:val="60"/>
          <w:divBdr>
            <w:top w:val="none" w:sz="0" w:space="0" w:color="auto"/>
            <w:left w:val="none" w:sz="0" w:space="0" w:color="auto"/>
            <w:bottom w:val="none" w:sz="0" w:space="0" w:color="auto"/>
            <w:right w:val="none" w:sz="0" w:space="0" w:color="auto"/>
          </w:divBdr>
          <w:divsChild>
            <w:div w:id="1868980159">
              <w:marLeft w:val="240"/>
              <w:marRight w:val="0"/>
              <w:marTop w:val="60"/>
              <w:marBottom w:val="60"/>
              <w:divBdr>
                <w:top w:val="none" w:sz="0" w:space="0" w:color="auto"/>
                <w:left w:val="none" w:sz="0" w:space="0" w:color="auto"/>
                <w:bottom w:val="none" w:sz="0" w:space="0" w:color="auto"/>
                <w:right w:val="none" w:sz="0" w:space="0" w:color="auto"/>
              </w:divBdr>
              <w:divsChild>
                <w:div w:id="819690384">
                  <w:marLeft w:val="0"/>
                  <w:marRight w:val="0"/>
                  <w:marTop w:val="0"/>
                  <w:marBottom w:val="0"/>
                  <w:divBdr>
                    <w:top w:val="none" w:sz="0" w:space="0" w:color="auto"/>
                    <w:left w:val="none" w:sz="0" w:space="0" w:color="auto"/>
                    <w:bottom w:val="none" w:sz="0" w:space="0" w:color="auto"/>
                    <w:right w:val="none" w:sz="0" w:space="0" w:color="auto"/>
                  </w:divBdr>
                </w:div>
              </w:divsChild>
            </w:div>
            <w:div w:id="1737170414">
              <w:marLeft w:val="240"/>
              <w:marRight w:val="0"/>
              <w:marTop w:val="60"/>
              <w:marBottom w:val="60"/>
              <w:divBdr>
                <w:top w:val="none" w:sz="0" w:space="0" w:color="auto"/>
                <w:left w:val="none" w:sz="0" w:space="0" w:color="auto"/>
                <w:bottom w:val="none" w:sz="0" w:space="0" w:color="auto"/>
                <w:right w:val="none" w:sz="0" w:space="0" w:color="auto"/>
              </w:divBdr>
              <w:divsChild>
                <w:div w:id="1429623395">
                  <w:marLeft w:val="240"/>
                  <w:marRight w:val="0"/>
                  <w:marTop w:val="60"/>
                  <w:marBottom w:val="60"/>
                  <w:divBdr>
                    <w:top w:val="none" w:sz="0" w:space="0" w:color="auto"/>
                    <w:left w:val="none" w:sz="0" w:space="0" w:color="auto"/>
                    <w:bottom w:val="none" w:sz="0" w:space="0" w:color="auto"/>
                    <w:right w:val="none" w:sz="0" w:space="0" w:color="auto"/>
                  </w:divBdr>
                  <w:divsChild>
                    <w:div w:id="1252353911">
                      <w:marLeft w:val="0"/>
                      <w:marRight w:val="0"/>
                      <w:marTop w:val="0"/>
                      <w:marBottom w:val="0"/>
                      <w:divBdr>
                        <w:top w:val="none" w:sz="0" w:space="0" w:color="auto"/>
                        <w:left w:val="none" w:sz="0" w:space="0" w:color="auto"/>
                        <w:bottom w:val="none" w:sz="0" w:space="0" w:color="auto"/>
                        <w:right w:val="none" w:sz="0" w:space="0" w:color="auto"/>
                      </w:divBdr>
                    </w:div>
                  </w:divsChild>
                </w:div>
                <w:div w:id="556624229">
                  <w:marLeft w:val="240"/>
                  <w:marRight w:val="0"/>
                  <w:marTop w:val="60"/>
                  <w:marBottom w:val="60"/>
                  <w:divBdr>
                    <w:top w:val="none" w:sz="0" w:space="0" w:color="auto"/>
                    <w:left w:val="none" w:sz="0" w:space="0" w:color="auto"/>
                    <w:bottom w:val="none" w:sz="0" w:space="0" w:color="auto"/>
                    <w:right w:val="none" w:sz="0" w:space="0" w:color="auto"/>
                  </w:divBdr>
                  <w:divsChild>
                    <w:div w:id="8213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11265">
          <w:marLeft w:val="240"/>
          <w:marRight w:val="0"/>
          <w:marTop w:val="60"/>
          <w:marBottom w:val="60"/>
          <w:divBdr>
            <w:top w:val="none" w:sz="0" w:space="0" w:color="auto"/>
            <w:left w:val="none" w:sz="0" w:space="0" w:color="auto"/>
            <w:bottom w:val="none" w:sz="0" w:space="0" w:color="auto"/>
            <w:right w:val="none" w:sz="0" w:space="0" w:color="auto"/>
          </w:divBdr>
          <w:divsChild>
            <w:div w:id="20097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uscode.php?width=840&amp;height=800&amp;iframe=true&amp;def_id=42-USC-847345143-1342391139&amp;term_occur=999&amp;term_src=title:42:chapter:6A:subchapter:II:part:G:section:264" TargetMode="External"/><Relationship Id="rId13" Type="http://schemas.openxmlformats.org/officeDocument/2006/relationships/hyperlink" Target="https://www.law.cornell.edu/definitions/uscode.php?width=840&amp;height=800&amp;iframe=true&amp;def_id=42-USC-847345143-1342391139&amp;term_occur=999&amp;term_src=title:42:chapter:6A:subchapter:II:part:G:section:264" TargetMode="External"/><Relationship Id="rId18" Type="http://schemas.openxmlformats.org/officeDocument/2006/relationships/hyperlink" Target="https://www.law.cornell.edu/uscode/text/42/26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law.cornell.edu/definitions/uscode.php?width=840&amp;height=800&amp;iframe=true&amp;def_id=42-USC-847345143-1342391139&amp;term_occur=999&amp;term_src=" TargetMode="External"/><Relationship Id="rId12" Type="http://schemas.openxmlformats.org/officeDocument/2006/relationships/hyperlink" Target="https://www.law.cornell.edu/definitions/uscode.php?width=840&amp;height=800&amp;iframe=true&amp;def_id=42-USC-847345143-1342391139&amp;term_occur=999&amp;term_src=title:42:chapter:6A:subchapter:II:part:G:section:264" TargetMode="External"/><Relationship Id="rId17" Type="http://schemas.openxmlformats.org/officeDocument/2006/relationships/hyperlink" Target="https://www.law.cornell.edu/definitions/uscode.php?width=840&amp;height=800&amp;iframe=true&amp;def_id=42-USC-1052269421-1722243096&amp;term_occur=999&amp;term_src=title:42:chapter:6A:subchapter:II:part:G:section:264" TargetMode="External"/><Relationship Id="rId2" Type="http://schemas.openxmlformats.org/officeDocument/2006/relationships/styles" Target="styles.xml"/><Relationship Id="rId16" Type="http://schemas.openxmlformats.org/officeDocument/2006/relationships/hyperlink" Target="https://www.law.cornell.edu/definitions/uscode.php?width=840&amp;height=800&amp;iframe=true&amp;def_id=42-USC-847345143-1342391139&amp;term_occur=999&amp;term_src=" TargetMode="External"/><Relationship Id="rId20" Type="http://schemas.openxmlformats.org/officeDocument/2006/relationships/hyperlink" Target="https://www.law.cornell.edu/uscode/text/42/266" TargetMode="External"/><Relationship Id="rId1" Type="http://schemas.openxmlformats.org/officeDocument/2006/relationships/numbering" Target="numbering.xml"/><Relationship Id="rId6" Type="http://schemas.openxmlformats.org/officeDocument/2006/relationships/hyperlink" Target="https://www.law.cornell.edu/definitions/uscode.php?width=840&amp;height=800&amp;iframe=true&amp;def_id=42-USC-1264422296-1342391138&amp;term_occur=999&amp;term_src=" TargetMode="External"/><Relationship Id="rId11" Type="http://schemas.openxmlformats.org/officeDocument/2006/relationships/hyperlink" Target="https://www.law.cornell.edu/definitions/uscode.php?width=840&amp;height=800&amp;iframe=true&amp;def_id=42-USC-1701087509-1342391137&amp;term_occur=999&amp;term_src=" TargetMode="External"/><Relationship Id="rId5" Type="http://schemas.openxmlformats.org/officeDocument/2006/relationships/hyperlink" Target="https://www.law.cornell.edu/definitions/uscode.php?width=840&amp;height=800&amp;iframe=true&amp;def_id=42-USC-1701087509-1342391137&amp;term_occur=999&amp;term_src=" TargetMode="External"/><Relationship Id="rId15" Type="http://schemas.openxmlformats.org/officeDocument/2006/relationships/hyperlink" Target="https://www.law.cornell.edu/definitions/uscode.php?width=840&amp;height=800&amp;iframe=true&amp;def_id=42-USC-1052269421-1722243096&amp;term_occur=999&amp;term_src=title:42:chapter:6A:subchapter:II:part:G:section:264" TargetMode="External"/><Relationship Id="rId10" Type="http://schemas.openxmlformats.org/officeDocument/2006/relationships/hyperlink" Target="https://www.law.cornell.edu/definitions/uscode.php?width=840&amp;height=800&amp;iframe=true&amp;def_id=42-USC-1264422296-1342391138&amp;term_occur=999&amp;term_src=" TargetMode="External"/><Relationship Id="rId19" Type="http://schemas.openxmlformats.org/officeDocument/2006/relationships/hyperlink" Target="https://www.law.cornell.edu/definitions/uscode.php?width=840&amp;height=800&amp;iframe=true&amp;def_id=42-USC-847345143-1342391139&amp;term_occur=999&amp;term_src=" TargetMode="External"/><Relationship Id="rId4" Type="http://schemas.openxmlformats.org/officeDocument/2006/relationships/webSettings" Target="webSettings.xml"/><Relationship Id="rId9" Type="http://schemas.openxmlformats.org/officeDocument/2006/relationships/hyperlink" Target="https://www.law.cornell.edu/definitions/uscode.php?width=840&amp;height=800&amp;iframe=true&amp;def_id=42-USC-1701087509-1342391137&amp;term_occur=999&amp;term_src=" TargetMode="External"/><Relationship Id="rId14" Type="http://schemas.openxmlformats.org/officeDocument/2006/relationships/hyperlink" Target="https://www.law.cornell.edu/definitions/uscode.php?width=840&amp;height=800&amp;iframe=true&amp;def_id=42-USC-1052269421-1722243096&amp;term_occur=999&amp;term_src=title:42:chapter:6A:subchapter:II:part:G:section:26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1192</Words>
  <Characters>6799</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Public Health Emergency Declaration</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Melum, Joshua P.</dc:creator>
  <cp:keywords/>
  <dc:description/>
  <cp:lastModifiedBy>Melum, Joshua P.</cp:lastModifiedBy>
  <cp:revision>1</cp:revision>
  <dcterms:created xsi:type="dcterms:W3CDTF">2020-05-18T05:24:00Z</dcterms:created>
  <dcterms:modified xsi:type="dcterms:W3CDTF">2020-05-18T06:02:00Z</dcterms:modified>
</cp:coreProperties>
</file>